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D8" w:rsidRPr="003F1BD8" w:rsidRDefault="003F1BD8" w:rsidP="003F1BD8">
      <w:pPr>
        <w:spacing w:after="0" w:line="240" w:lineRule="auto"/>
        <w:rPr>
          <w:rFonts w:ascii="Segoe UI Symbol" w:hAnsi="Segoe UI Symbol"/>
        </w:rPr>
      </w:pPr>
      <w:bookmarkStart w:id="0" w:name="_GoBack"/>
      <w:bookmarkEnd w:id="0"/>
      <w:r w:rsidRPr="003F1BD8">
        <w:rPr>
          <w:rFonts w:ascii="Segoe UI Symbol" w:hAnsi="Segoe UI Symbol"/>
        </w:rPr>
        <w:t>Reporting of the USDA Federal Loans</w:t>
      </w:r>
    </w:p>
    <w:p w:rsidR="003F1BD8" w:rsidRDefault="003F1BD8" w:rsidP="003F1BD8">
      <w:pPr>
        <w:spacing w:after="0" w:line="240" w:lineRule="auto"/>
        <w:rPr>
          <w:rFonts w:ascii="Segoe UI Symbol" w:hAnsi="Segoe UI Symbol"/>
          <w:b/>
          <w:bCs/>
        </w:rPr>
      </w:pPr>
    </w:p>
    <w:p w:rsidR="003F1BD8" w:rsidRPr="003F1BD8" w:rsidRDefault="003F1BD8" w:rsidP="003F1BD8">
      <w:pPr>
        <w:spacing w:after="0" w:line="240" w:lineRule="auto"/>
        <w:rPr>
          <w:rFonts w:ascii="Segoe UI Symbol" w:hAnsi="Segoe UI Symbol"/>
          <w:b/>
          <w:bCs/>
        </w:rPr>
      </w:pPr>
      <w:r w:rsidRPr="003F1BD8">
        <w:rPr>
          <w:rFonts w:ascii="Segoe UI Symbol" w:hAnsi="Segoe UI Symbol"/>
          <w:b/>
          <w:bCs/>
        </w:rPr>
        <w:t>This alert is directed to recipients of the USDA federal loans.</w:t>
      </w:r>
    </w:p>
    <w:p w:rsidR="003F1BD8" w:rsidRPr="003F1BD8" w:rsidRDefault="003F1BD8" w:rsidP="003F1BD8">
      <w:pPr>
        <w:shd w:val="clear" w:color="auto" w:fill="FFFFFF"/>
        <w:spacing w:after="0" w:line="240" w:lineRule="auto"/>
        <w:rPr>
          <w:rFonts w:ascii="Segoe UI Symbol" w:eastAsia="Times New Roman" w:hAnsi="Segoe UI Symbol" w:cs="Segoe UI"/>
          <w:color w:val="333333"/>
        </w:rPr>
      </w:pPr>
    </w:p>
    <w:p w:rsidR="003F075F" w:rsidRPr="003F075F" w:rsidRDefault="003F075F" w:rsidP="003F075F">
      <w:pPr>
        <w:shd w:val="clear" w:color="auto" w:fill="FFFFFF"/>
        <w:spacing w:after="150" w:line="240" w:lineRule="auto"/>
        <w:rPr>
          <w:rFonts w:ascii="Segoe UI" w:eastAsia="Times New Roman" w:hAnsi="Segoe UI" w:cs="Segoe UI"/>
          <w:color w:val="333333"/>
        </w:rPr>
      </w:pPr>
      <w:r w:rsidRPr="003F075F">
        <w:rPr>
          <w:rFonts w:ascii="Segoe UI" w:eastAsia="Times New Roman" w:hAnsi="Segoe UI" w:cs="Segoe UI"/>
          <w:color w:val="333333"/>
        </w:rPr>
        <w:t>The interpretation for reporting loan balances on the Schedule of Expenditure of Federal Awards (SEFA/BARS Schedule 16) for the Water and Waste Disposal Systems for Rural Communities (CFDA 10.760) and Community Facilities Loans and Grants (CFDA 10.766) programs</w:t>
      </w:r>
      <w:r>
        <w:rPr>
          <w:rFonts w:ascii="Segoe UI" w:eastAsia="Times New Roman" w:hAnsi="Segoe UI" w:cs="Segoe UI"/>
          <w:color w:val="333333"/>
        </w:rPr>
        <w:t xml:space="preserve"> was revised.</w:t>
      </w:r>
    </w:p>
    <w:p w:rsidR="003F075F" w:rsidRPr="003F075F" w:rsidRDefault="003F075F" w:rsidP="003F075F">
      <w:pPr>
        <w:shd w:val="clear" w:color="auto" w:fill="FFFFFF"/>
        <w:spacing w:after="150" w:line="240" w:lineRule="auto"/>
        <w:rPr>
          <w:rFonts w:ascii="Segoe UI" w:eastAsia="Times New Roman" w:hAnsi="Segoe UI" w:cs="Segoe UI"/>
          <w:color w:val="333333"/>
        </w:rPr>
      </w:pPr>
      <w:r>
        <w:rPr>
          <w:rFonts w:ascii="Segoe UI" w:eastAsia="Times New Roman" w:hAnsi="Segoe UI" w:cs="Segoe UI"/>
          <w:color w:val="333333"/>
        </w:rPr>
        <w:t>According to previous interpretation l</w:t>
      </w:r>
      <w:r w:rsidRPr="003F075F">
        <w:rPr>
          <w:rFonts w:ascii="Segoe UI" w:eastAsia="Times New Roman" w:hAnsi="Segoe UI" w:cs="Segoe UI"/>
          <w:color w:val="333333"/>
        </w:rPr>
        <w:t>oan balances were not reported during or after the project.</w:t>
      </w:r>
    </w:p>
    <w:p w:rsidR="003F075F" w:rsidRDefault="003F075F" w:rsidP="003F075F">
      <w:pPr>
        <w:shd w:val="clear" w:color="auto" w:fill="FFFFFF"/>
        <w:spacing w:after="150" w:line="240" w:lineRule="auto"/>
        <w:rPr>
          <w:rFonts w:ascii="Segoe UI" w:eastAsia="Times New Roman" w:hAnsi="Segoe UI" w:cs="Segoe UI"/>
          <w:color w:val="333333"/>
        </w:rPr>
      </w:pPr>
      <w:r>
        <w:rPr>
          <w:rFonts w:ascii="Segoe UI" w:eastAsia="Times New Roman" w:hAnsi="Segoe UI" w:cs="Segoe UI"/>
          <w:color w:val="333333"/>
        </w:rPr>
        <w:t>Now, p</w:t>
      </w:r>
      <w:r w:rsidRPr="003F075F">
        <w:rPr>
          <w:rFonts w:ascii="Segoe UI" w:eastAsia="Times New Roman" w:hAnsi="Segoe UI" w:cs="Segoe UI"/>
          <w:color w:val="333333"/>
        </w:rPr>
        <w:t xml:space="preserve">er the Compliance Supplement, </w:t>
      </w:r>
      <w:r w:rsidRPr="003F075F">
        <w:rPr>
          <w:rFonts w:ascii="Segoe UI" w:eastAsia="Times New Roman" w:hAnsi="Segoe UI" w:cs="Segoe UI"/>
          <w:b/>
          <w:bCs/>
          <w:color w:val="333333"/>
        </w:rPr>
        <w:t>during the project</w:t>
      </w:r>
      <w:r w:rsidRPr="003F075F">
        <w:rPr>
          <w:rFonts w:ascii="Segoe UI" w:eastAsia="Times New Roman" w:hAnsi="Segoe UI" w:cs="Segoe UI"/>
          <w:color w:val="333333"/>
        </w:rPr>
        <w:t xml:space="preserve">, the </w:t>
      </w:r>
      <w:r>
        <w:rPr>
          <w:rFonts w:ascii="Segoe UI" w:eastAsia="Times New Roman" w:hAnsi="Segoe UI" w:cs="Segoe UI"/>
          <w:color w:val="333333"/>
        </w:rPr>
        <w:t>government</w:t>
      </w:r>
      <w:r w:rsidRPr="003F075F">
        <w:rPr>
          <w:rFonts w:ascii="Segoe UI" w:eastAsia="Times New Roman" w:hAnsi="Segoe UI" w:cs="Segoe UI"/>
          <w:color w:val="333333"/>
        </w:rPr>
        <w:t xml:space="preserve"> must report any loan balances, in addition to project expenditures, in accordance with 2 CFR Section 200.502(b).</w:t>
      </w:r>
      <w:r>
        <w:rPr>
          <w:rFonts w:ascii="Segoe UI" w:eastAsia="Times New Roman" w:hAnsi="Segoe UI" w:cs="Segoe UI"/>
          <w:color w:val="333333"/>
        </w:rPr>
        <w:t xml:space="preserve"> </w:t>
      </w:r>
      <w:r w:rsidRPr="003F075F">
        <w:rPr>
          <w:rFonts w:ascii="Segoe UI" w:eastAsia="Times New Roman" w:hAnsi="Segoe UI" w:cs="Segoe UI"/>
          <w:color w:val="333333"/>
        </w:rPr>
        <w:t xml:space="preserve"> </w:t>
      </w:r>
      <w:r w:rsidRPr="003F075F">
        <w:rPr>
          <w:rFonts w:ascii="Segoe UI" w:eastAsia="Times New Roman" w:hAnsi="Segoe UI" w:cs="Segoe UI"/>
          <w:b/>
          <w:bCs/>
          <w:color w:val="333333"/>
        </w:rPr>
        <w:t>After the project is completed</w:t>
      </w:r>
      <w:r w:rsidRPr="003F075F">
        <w:rPr>
          <w:rFonts w:ascii="Segoe UI" w:eastAsia="Times New Roman" w:hAnsi="Segoe UI" w:cs="Segoe UI"/>
          <w:color w:val="333333"/>
        </w:rPr>
        <w:t xml:space="preserve">, the </w:t>
      </w:r>
      <w:r>
        <w:rPr>
          <w:rFonts w:ascii="Segoe UI" w:eastAsia="Times New Roman" w:hAnsi="Segoe UI" w:cs="Segoe UI"/>
          <w:color w:val="333333"/>
        </w:rPr>
        <w:t>government</w:t>
      </w:r>
      <w:r w:rsidRPr="003F075F">
        <w:rPr>
          <w:rFonts w:ascii="Segoe UI" w:eastAsia="Times New Roman" w:hAnsi="Segoe UI" w:cs="Segoe UI"/>
          <w:color w:val="333333"/>
        </w:rPr>
        <w:t xml:space="preserve"> </w:t>
      </w:r>
      <w:r w:rsidRPr="003F075F">
        <w:rPr>
          <w:rFonts w:ascii="Segoe UI" w:eastAsia="Times New Roman" w:hAnsi="Segoe UI" w:cs="Segoe UI"/>
          <w:b/>
          <w:bCs/>
          <w:color w:val="333333"/>
        </w:rPr>
        <w:t>does not</w:t>
      </w:r>
      <w:r w:rsidRPr="003F075F">
        <w:rPr>
          <w:rFonts w:ascii="Segoe UI" w:eastAsia="Times New Roman" w:hAnsi="Segoe UI" w:cs="Segoe UI"/>
          <w:color w:val="333333"/>
        </w:rPr>
        <w:t xml:space="preserve"> report any outstanding loan balances as the loans are no longer considered to have cont</w:t>
      </w:r>
      <w:r>
        <w:rPr>
          <w:rFonts w:ascii="Segoe UI" w:eastAsia="Times New Roman" w:hAnsi="Segoe UI" w:cs="Segoe UI"/>
          <w:color w:val="333333"/>
        </w:rPr>
        <w:t xml:space="preserve">inuing compliance requirements. </w:t>
      </w:r>
      <w:r w:rsidRPr="003F075F">
        <w:rPr>
          <w:rFonts w:ascii="Segoe UI" w:eastAsia="Times New Roman" w:hAnsi="Segoe UI" w:cs="Segoe UI"/>
          <w:color w:val="333333"/>
        </w:rPr>
        <w:t xml:space="preserve"> The BARS Manual</w:t>
      </w:r>
      <w:r>
        <w:rPr>
          <w:rFonts w:ascii="Segoe UI" w:eastAsia="Times New Roman" w:hAnsi="Segoe UI" w:cs="Segoe UI"/>
          <w:color w:val="333333"/>
        </w:rPr>
        <w:t>s</w:t>
      </w:r>
      <w:r w:rsidRPr="003F075F">
        <w:rPr>
          <w:rFonts w:ascii="Segoe UI" w:eastAsia="Times New Roman" w:hAnsi="Segoe UI" w:cs="Segoe UI"/>
          <w:color w:val="333333"/>
        </w:rPr>
        <w:t xml:space="preserve"> have been updated to reflect this revision</w:t>
      </w:r>
      <w:r>
        <w:rPr>
          <w:rFonts w:ascii="Segoe UI" w:eastAsia="Times New Roman" w:hAnsi="Segoe UI" w:cs="Segoe UI"/>
          <w:color w:val="333333"/>
        </w:rPr>
        <w:t>.  Attached</w:t>
      </w:r>
      <w:r w:rsidRPr="003F075F">
        <w:rPr>
          <w:rFonts w:ascii="Segoe UI" w:eastAsia="Times New Roman" w:hAnsi="Segoe UI" w:cs="Segoe UI"/>
          <w:color w:val="333333"/>
        </w:rPr>
        <w:t xml:space="preserve"> below is the updated BARS Manual </w:t>
      </w:r>
      <w:r>
        <w:rPr>
          <w:rFonts w:ascii="Segoe UI" w:eastAsia="Times New Roman" w:hAnsi="Segoe UI" w:cs="Segoe UI"/>
          <w:color w:val="333333"/>
        </w:rPr>
        <w:t>g</w:t>
      </w:r>
      <w:r w:rsidRPr="003F075F">
        <w:rPr>
          <w:rFonts w:ascii="Segoe UI" w:eastAsia="Times New Roman" w:hAnsi="Segoe UI" w:cs="Segoe UI"/>
          <w:color w:val="333333"/>
        </w:rPr>
        <w:t>uidance</w:t>
      </w:r>
      <w:r>
        <w:rPr>
          <w:rFonts w:ascii="Segoe UI" w:eastAsia="Times New Roman" w:hAnsi="Segoe UI" w:cs="Segoe UI"/>
          <w:color w:val="333333"/>
        </w:rPr>
        <w:t>.</w:t>
      </w:r>
    </w:p>
    <w:p w:rsidR="003F075F" w:rsidRPr="003F075F" w:rsidRDefault="003F075F" w:rsidP="003F075F">
      <w:pPr>
        <w:shd w:val="clear" w:color="auto" w:fill="FFFFFF"/>
        <w:spacing w:after="150" w:line="240" w:lineRule="auto"/>
        <w:rPr>
          <w:rFonts w:ascii="Segoe UI" w:eastAsia="Times New Roman" w:hAnsi="Segoe UI" w:cs="Segoe UI"/>
          <w:color w:val="333333"/>
        </w:rPr>
      </w:pPr>
      <w:r w:rsidRPr="003F075F">
        <w:rPr>
          <w:rFonts w:ascii="Segoe UI" w:eastAsia="Times New Roman" w:hAnsi="Segoe UI" w:cs="Segoe UI"/>
          <w:color w:val="333333"/>
        </w:rPr>
        <w:t>This change is effective immediately.</w:t>
      </w:r>
      <w:r>
        <w:rPr>
          <w:rFonts w:ascii="Segoe UI" w:eastAsia="Times New Roman" w:hAnsi="Segoe UI" w:cs="Segoe UI"/>
          <w:color w:val="333333"/>
        </w:rPr>
        <w:t xml:space="preserve">  The </w:t>
      </w:r>
      <w:r w:rsidRPr="003F075F">
        <w:rPr>
          <w:rFonts w:ascii="Segoe UI" w:eastAsia="Times New Roman" w:hAnsi="Segoe UI" w:cs="Segoe UI"/>
          <w:b/>
          <w:bCs/>
          <w:color w:val="333333"/>
        </w:rPr>
        <w:t>fiscal year 2018 SEFA</w:t>
      </w:r>
      <w:r>
        <w:rPr>
          <w:rFonts w:ascii="Segoe UI" w:eastAsia="Times New Roman" w:hAnsi="Segoe UI" w:cs="Segoe UI"/>
          <w:b/>
          <w:bCs/>
          <w:color w:val="333333"/>
        </w:rPr>
        <w:t xml:space="preserve"> should</w:t>
      </w:r>
      <w:r w:rsidRPr="003F075F">
        <w:rPr>
          <w:rFonts w:ascii="Segoe UI" w:eastAsia="Times New Roman" w:hAnsi="Segoe UI" w:cs="Segoe UI"/>
          <w:b/>
          <w:bCs/>
          <w:color w:val="333333"/>
        </w:rPr>
        <w:t xml:space="preserve"> be corrected </w:t>
      </w:r>
      <w:r w:rsidRPr="003F075F">
        <w:rPr>
          <w:rFonts w:ascii="Segoe UI" w:eastAsia="Times New Roman" w:hAnsi="Segoe UI" w:cs="Segoe UI"/>
          <w:color w:val="333333"/>
        </w:rPr>
        <w:t xml:space="preserve">(unless the audit has been </w:t>
      </w:r>
      <w:r w:rsidRPr="003F075F">
        <w:rPr>
          <w:rFonts w:ascii="Segoe UI" w:hAnsi="Segoe UI" w:cs="Segoe UI"/>
          <w:color w:val="333333"/>
        </w:rPr>
        <w:t>completed and the report issued</w:t>
      </w:r>
      <w:r>
        <w:rPr>
          <w:rFonts w:ascii="Segoe UI" w:eastAsia="Times New Roman" w:hAnsi="Segoe UI" w:cs="Segoe UI"/>
          <w:color w:val="333333"/>
        </w:rPr>
        <w:t>).  Please c</w:t>
      </w:r>
      <w:r w:rsidRPr="003F075F">
        <w:rPr>
          <w:rFonts w:ascii="Segoe UI" w:eastAsia="Times New Roman" w:hAnsi="Segoe UI" w:cs="Segoe UI"/>
          <w:color w:val="333333"/>
        </w:rPr>
        <w:t xml:space="preserve">ontact </w:t>
      </w:r>
      <w:r w:rsidR="00B52350">
        <w:rPr>
          <w:rFonts w:ascii="Segoe UI" w:eastAsia="Times New Roman" w:hAnsi="Segoe UI" w:cs="Segoe UI"/>
          <w:color w:val="333333"/>
        </w:rPr>
        <w:t xml:space="preserve">the SAO HelpDesk </w:t>
      </w:r>
      <w:r w:rsidRPr="003F075F">
        <w:rPr>
          <w:rFonts w:ascii="Segoe UI" w:eastAsia="Times New Roman" w:hAnsi="Segoe UI" w:cs="Segoe UI"/>
          <w:color w:val="333333"/>
        </w:rPr>
        <w:t>with any questions.</w:t>
      </w:r>
    </w:p>
    <w:p w:rsidR="003F075F" w:rsidRPr="003F075F" w:rsidRDefault="003F075F" w:rsidP="003F075F">
      <w:pPr>
        <w:shd w:val="clear" w:color="auto" w:fill="FFFFFF"/>
        <w:spacing w:after="150" w:line="240" w:lineRule="auto"/>
        <w:rPr>
          <w:rFonts w:ascii="Segoe UI Symbol" w:eastAsia="Times New Roman" w:hAnsi="Segoe UI Symbol" w:cstheme="minorHAnsi"/>
          <w:color w:val="333333"/>
        </w:rPr>
      </w:pPr>
      <w:r w:rsidRPr="003F075F">
        <w:rPr>
          <w:rFonts w:ascii="Segoe UI" w:eastAsia="Times New Roman" w:hAnsi="Segoe UI" w:cs="Segoe UI"/>
          <w:b/>
          <w:bCs/>
          <w:color w:val="333333"/>
        </w:rPr>
        <w:t>Updated BARS Manual Guidance</w:t>
      </w:r>
      <w:r>
        <w:rPr>
          <w:rFonts w:ascii="Segoe UI" w:eastAsia="Times New Roman" w:hAnsi="Segoe UI" w:cs="Segoe UI"/>
          <w:b/>
          <w:bCs/>
          <w:color w:val="333333"/>
        </w:rPr>
        <w:t xml:space="preserve"> </w:t>
      </w:r>
      <w:r w:rsidR="00B52350" w:rsidRPr="00B52350">
        <w:rPr>
          <w:rFonts w:ascii="Segoe UI" w:eastAsia="Times New Roman" w:hAnsi="Segoe UI" w:cs="Segoe UI"/>
          <w:bCs/>
          <w:color w:val="333333"/>
        </w:rPr>
        <w:t>(</w:t>
      </w:r>
      <w:r w:rsidR="00B52350" w:rsidRPr="00B52350">
        <w:rPr>
          <w:rFonts w:ascii="Segoe UI Symbol" w:hAnsi="Segoe UI Symbol" w:cstheme="minorHAnsi"/>
        </w:rPr>
        <w:t>Reporting/Supplemental Schedules/Schedule of Expenditures of Federal Awards, subsection 4.8.5.130, Question 2</w:t>
      </w:r>
      <w:r w:rsidR="00B52350">
        <w:rPr>
          <w:rFonts w:ascii="Segoe UI Symbol" w:hAnsi="Segoe UI Symbol" w:cstheme="minorHAnsi"/>
        </w:rPr>
        <w:t xml:space="preserve">, </w:t>
      </w:r>
      <w:hyperlink r:id="rId4" w:history="1">
        <w:r w:rsidR="00B52350" w:rsidRPr="00B52350">
          <w:rPr>
            <w:rStyle w:val="Hyperlink"/>
            <w:rFonts w:ascii="Segoe UI Symbol" w:hAnsi="Segoe UI Symbol" w:cstheme="minorHAnsi"/>
          </w:rPr>
          <w:t xml:space="preserve">BARS GAAP: Schedule 16/SEFA </w:t>
        </w:r>
      </w:hyperlink>
      <w:r w:rsidR="00B52350" w:rsidRPr="00B52350">
        <w:rPr>
          <w:rFonts w:ascii="Segoe UI Symbol" w:hAnsi="Segoe UI Symbol" w:cstheme="minorHAnsi"/>
        </w:rPr>
        <w:t xml:space="preserve">and </w:t>
      </w:r>
      <w:hyperlink r:id="rId5" w:history="1">
        <w:r w:rsidR="00B52350" w:rsidRPr="00B52350">
          <w:rPr>
            <w:rStyle w:val="Hyperlink"/>
            <w:rFonts w:ascii="Segoe UI Symbol" w:hAnsi="Segoe UI Symbol" w:cstheme="minorHAnsi"/>
          </w:rPr>
          <w:t>BARS Cash: Schedule 16/SEFA</w:t>
        </w:r>
      </w:hyperlink>
      <w:r w:rsidR="00B52350" w:rsidRPr="00B52350">
        <w:rPr>
          <w:rFonts w:ascii="Segoe UI Symbol" w:hAnsi="Segoe UI Symbol" w:cstheme="minorHAnsi"/>
        </w:rPr>
        <w:t>).</w:t>
      </w:r>
    </w:p>
    <w:p w:rsidR="00DB6F73" w:rsidRDefault="003F075F" w:rsidP="003F1BD8">
      <w:pPr>
        <w:shd w:val="clear" w:color="auto" w:fill="FFFFFF"/>
        <w:spacing w:line="240" w:lineRule="auto"/>
        <w:ind w:right="307"/>
        <w:jc w:val="both"/>
      </w:pPr>
      <w:r w:rsidRPr="003F075F">
        <w:rPr>
          <w:rFonts w:ascii="Segoe UI" w:eastAsia="Times New Roman" w:hAnsi="Segoe UI" w:cs="Segoe UI"/>
          <w:b/>
          <w:bCs/>
          <w:color w:val="333333"/>
        </w:rPr>
        <w:t xml:space="preserve">USDA Interim Financing: Water and Waste Disposal Systems for Rural Communities (CFDA 10.760), Community Facilities Loans and Grants (CFDA 10.766). </w:t>
      </w:r>
      <w:r w:rsidR="00B52350">
        <w:rPr>
          <w:rFonts w:ascii="Segoe UI" w:eastAsia="Times New Roman" w:hAnsi="Segoe UI" w:cs="Segoe UI"/>
          <w:b/>
          <w:bCs/>
          <w:color w:val="333333"/>
        </w:rPr>
        <w:t xml:space="preserve"> </w:t>
      </w:r>
      <w:r w:rsidRPr="003F075F">
        <w:rPr>
          <w:rFonts w:ascii="Segoe UI" w:eastAsia="Times New Roman" w:hAnsi="Segoe UI" w:cs="Segoe UI"/>
          <w:color w:val="333333"/>
        </w:rPr>
        <w:t xml:space="preserve">After the </w:t>
      </w:r>
      <w:r w:rsidRPr="003F075F">
        <w:rPr>
          <w:rFonts w:ascii="Segoe UI" w:eastAsia="Times New Roman" w:hAnsi="Segoe UI" w:cs="Segoe UI"/>
          <w:color w:val="333333"/>
          <w:spacing w:val="-3"/>
        </w:rPr>
        <w:t xml:space="preserve">USDA </w:t>
      </w:r>
      <w:r w:rsidRPr="003F075F">
        <w:rPr>
          <w:rFonts w:ascii="Segoe UI" w:eastAsia="Times New Roman" w:hAnsi="Segoe UI" w:cs="Segoe UI"/>
          <w:color w:val="333333"/>
        </w:rPr>
        <w:t>has made a commitment on a loan as evidenced by an approved “request for obligation of funds”,</w:t>
      </w:r>
      <w:r w:rsidRPr="003F075F">
        <w:rPr>
          <w:rFonts w:ascii="Segoe UI" w:eastAsia="Times New Roman" w:hAnsi="Segoe UI" w:cs="Segoe UI"/>
          <w:color w:val="333333"/>
          <w:spacing w:val="-3"/>
        </w:rPr>
        <w:t xml:space="preserve"> </w:t>
      </w:r>
      <w:r w:rsidRPr="003F075F">
        <w:rPr>
          <w:rFonts w:ascii="Segoe UI" w:eastAsia="Times New Roman" w:hAnsi="Segoe UI" w:cs="Segoe UI"/>
          <w:color w:val="333333"/>
        </w:rPr>
        <w:t>the</w:t>
      </w:r>
      <w:r w:rsidRPr="003F075F">
        <w:rPr>
          <w:rFonts w:ascii="Segoe UI" w:eastAsia="Times New Roman" w:hAnsi="Segoe UI" w:cs="Segoe UI"/>
          <w:color w:val="333333"/>
          <w:spacing w:val="-3"/>
        </w:rPr>
        <w:t xml:space="preserve"> </w:t>
      </w:r>
      <w:r w:rsidRPr="003F075F">
        <w:rPr>
          <w:rFonts w:ascii="Segoe UI" w:eastAsia="Times New Roman" w:hAnsi="Segoe UI" w:cs="Segoe UI"/>
          <w:color w:val="333333"/>
        </w:rPr>
        <w:t>borrower</w:t>
      </w:r>
      <w:r w:rsidRPr="003F075F">
        <w:rPr>
          <w:rFonts w:ascii="Segoe UI" w:eastAsia="Times New Roman" w:hAnsi="Segoe UI" w:cs="Segoe UI"/>
          <w:color w:val="333333"/>
          <w:spacing w:val="-3"/>
        </w:rPr>
        <w:t xml:space="preserve"> </w:t>
      </w:r>
      <w:r w:rsidRPr="003F075F">
        <w:rPr>
          <w:rFonts w:ascii="Segoe UI" w:eastAsia="Times New Roman" w:hAnsi="Segoe UI" w:cs="Segoe UI"/>
          <w:color w:val="333333"/>
        </w:rPr>
        <w:t>may</w:t>
      </w:r>
      <w:r w:rsidRPr="003F075F">
        <w:rPr>
          <w:rFonts w:ascii="Segoe UI" w:eastAsia="Times New Roman" w:hAnsi="Segoe UI" w:cs="Segoe UI"/>
          <w:color w:val="333333"/>
          <w:spacing w:val="-6"/>
        </w:rPr>
        <w:t xml:space="preserve"> </w:t>
      </w:r>
      <w:r w:rsidRPr="003F075F">
        <w:rPr>
          <w:rFonts w:ascii="Segoe UI" w:eastAsia="Times New Roman" w:hAnsi="Segoe UI" w:cs="Segoe UI"/>
          <w:color w:val="333333"/>
        </w:rPr>
        <w:t>obtain</w:t>
      </w:r>
      <w:r w:rsidRPr="003F075F">
        <w:rPr>
          <w:rFonts w:ascii="Segoe UI" w:eastAsia="Times New Roman" w:hAnsi="Segoe UI" w:cs="Segoe UI"/>
          <w:color w:val="333333"/>
          <w:spacing w:val="-3"/>
        </w:rPr>
        <w:t xml:space="preserve"> </w:t>
      </w:r>
      <w:r w:rsidRPr="003F075F">
        <w:rPr>
          <w:rFonts w:ascii="Segoe UI" w:eastAsia="Times New Roman" w:hAnsi="Segoe UI" w:cs="Segoe UI"/>
          <w:color w:val="333333"/>
        </w:rPr>
        <w:t>interim</w:t>
      </w:r>
      <w:r w:rsidRPr="003F075F">
        <w:rPr>
          <w:rFonts w:ascii="Segoe UI" w:eastAsia="Times New Roman" w:hAnsi="Segoe UI" w:cs="Segoe UI"/>
          <w:color w:val="333333"/>
          <w:spacing w:val="-7"/>
        </w:rPr>
        <w:t xml:space="preserve"> </w:t>
      </w:r>
      <w:r w:rsidRPr="003F075F">
        <w:rPr>
          <w:rFonts w:ascii="Segoe UI" w:eastAsia="Times New Roman" w:hAnsi="Segoe UI" w:cs="Segoe UI"/>
          <w:color w:val="333333"/>
        </w:rPr>
        <w:t>financing</w:t>
      </w:r>
      <w:r w:rsidRPr="003F075F">
        <w:rPr>
          <w:rFonts w:ascii="Segoe UI" w:eastAsia="Times New Roman" w:hAnsi="Segoe UI" w:cs="Segoe UI"/>
          <w:color w:val="333333"/>
          <w:spacing w:val="-6"/>
        </w:rPr>
        <w:t xml:space="preserve"> </w:t>
      </w:r>
      <w:r w:rsidRPr="003F075F">
        <w:rPr>
          <w:rFonts w:ascii="Segoe UI" w:eastAsia="Times New Roman" w:hAnsi="Segoe UI" w:cs="Segoe UI"/>
          <w:color w:val="333333"/>
        </w:rPr>
        <w:t>from</w:t>
      </w:r>
      <w:r w:rsidRPr="003F075F">
        <w:rPr>
          <w:rFonts w:ascii="Segoe UI" w:eastAsia="Times New Roman" w:hAnsi="Segoe UI" w:cs="Segoe UI"/>
          <w:color w:val="333333"/>
          <w:spacing w:val="-7"/>
        </w:rPr>
        <w:t xml:space="preserve"> </w:t>
      </w:r>
      <w:r w:rsidRPr="003F075F">
        <w:rPr>
          <w:rFonts w:ascii="Segoe UI" w:eastAsia="Times New Roman" w:hAnsi="Segoe UI" w:cs="Segoe UI"/>
          <w:color w:val="333333"/>
        </w:rPr>
        <w:t>commercial</w:t>
      </w:r>
      <w:r w:rsidRPr="003F075F">
        <w:rPr>
          <w:rFonts w:ascii="Segoe UI" w:eastAsia="Times New Roman" w:hAnsi="Segoe UI" w:cs="Segoe UI"/>
          <w:color w:val="333333"/>
          <w:spacing w:val="-3"/>
        </w:rPr>
        <w:t xml:space="preserve"> </w:t>
      </w:r>
      <w:r w:rsidRPr="003F075F">
        <w:rPr>
          <w:rFonts w:ascii="Segoe UI" w:eastAsia="Times New Roman" w:hAnsi="Segoe UI" w:cs="Segoe UI"/>
          <w:color w:val="333333"/>
        </w:rPr>
        <w:t>sources</w:t>
      </w:r>
      <w:r w:rsidRPr="003F075F">
        <w:rPr>
          <w:rFonts w:ascii="Segoe UI" w:eastAsia="Times New Roman" w:hAnsi="Segoe UI" w:cs="Segoe UI"/>
          <w:color w:val="333333"/>
          <w:spacing w:val="-3"/>
        </w:rPr>
        <w:t xml:space="preserve"> </w:t>
      </w:r>
      <w:r w:rsidRPr="003F075F">
        <w:rPr>
          <w:rFonts w:ascii="Segoe UI" w:eastAsia="Times New Roman" w:hAnsi="Segoe UI" w:cs="Segoe UI"/>
          <w:color w:val="333333"/>
        </w:rPr>
        <w:t>(e.g.,</w:t>
      </w:r>
      <w:r w:rsidRPr="003F075F">
        <w:rPr>
          <w:rFonts w:ascii="Segoe UI" w:eastAsia="Times New Roman" w:hAnsi="Segoe UI" w:cs="Segoe UI"/>
          <w:color w:val="333333"/>
          <w:spacing w:val="-4"/>
        </w:rPr>
        <w:t xml:space="preserve"> </w:t>
      </w:r>
      <w:r w:rsidRPr="003F075F">
        <w:rPr>
          <w:rFonts w:ascii="Segoe UI" w:eastAsia="Times New Roman" w:hAnsi="Segoe UI" w:cs="Segoe UI"/>
          <w:color w:val="333333"/>
        </w:rPr>
        <w:t>a</w:t>
      </w:r>
      <w:r w:rsidRPr="003F075F">
        <w:rPr>
          <w:rFonts w:ascii="Segoe UI" w:eastAsia="Times New Roman" w:hAnsi="Segoe UI" w:cs="Segoe UI"/>
          <w:color w:val="333333"/>
          <w:spacing w:val="-3"/>
        </w:rPr>
        <w:t xml:space="preserve"> </w:t>
      </w:r>
      <w:r w:rsidRPr="003F075F">
        <w:rPr>
          <w:rFonts w:ascii="Segoe UI" w:eastAsia="Times New Roman" w:hAnsi="Segoe UI" w:cs="Segoe UI"/>
          <w:color w:val="333333"/>
        </w:rPr>
        <w:t>bank</w:t>
      </w:r>
      <w:r w:rsidRPr="003F075F">
        <w:rPr>
          <w:rFonts w:ascii="Segoe UI" w:eastAsia="Times New Roman" w:hAnsi="Segoe UI" w:cs="Segoe UI"/>
          <w:color w:val="333333"/>
          <w:spacing w:val="-6"/>
        </w:rPr>
        <w:t xml:space="preserve"> </w:t>
      </w:r>
      <w:r w:rsidRPr="003F075F">
        <w:rPr>
          <w:rFonts w:ascii="Segoe UI" w:eastAsia="Times New Roman" w:hAnsi="Segoe UI" w:cs="Segoe UI"/>
          <w:color w:val="333333"/>
        </w:rPr>
        <w:t>loan) during</w:t>
      </w:r>
      <w:r w:rsidRPr="003F075F">
        <w:rPr>
          <w:rFonts w:ascii="Segoe UI" w:eastAsia="Times New Roman" w:hAnsi="Segoe UI" w:cs="Segoe UI"/>
          <w:color w:val="333333"/>
          <w:spacing w:val="-11"/>
        </w:rPr>
        <w:t xml:space="preserve"> </w:t>
      </w:r>
      <w:r w:rsidRPr="003F075F">
        <w:rPr>
          <w:rFonts w:ascii="Segoe UI" w:eastAsia="Times New Roman" w:hAnsi="Segoe UI" w:cs="Segoe UI"/>
          <w:color w:val="333333"/>
        </w:rPr>
        <w:t>the</w:t>
      </w:r>
      <w:r w:rsidRPr="003F075F">
        <w:rPr>
          <w:rFonts w:ascii="Segoe UI" w:eastAsia="Times New Roman" w:hAnsi="Segoe UI" w:cs="Segoe UI"/>
          <w:color w:val="333333"/>
          <w:spacing w:val="-8"/>
        </w:rPr>
        <w:t xml:space="preserve"> </w:t>
      </w:r>
      <w:r w:rsidRPr="003F075F">
        <w:rPr>
          <w:rFonts w:ascii="Segoe UI" w:eastAsia="Times New Roman" w:hAnsi="Segoe UI" w:cs="Segoe UI"/>
          <w:color w:val="333333"/>
        </w:rPr>
        <w:t>construction</w:t>
      </w:r>
      <w:r w:rsidRPr="003F075F">
        <w:rPr>
          <w:rFonts w:ascii="Segoe UI" w:eastAsia="Times New Roman" w:hAnsi="Segoe UI" w:cs="Segoe UI"/>
          <w:color w:val="333333"/>
          <w:spacing w:val="-11"/>
        </w:rPr>
        <w:t xml:space="preserve"> </w:t>
      </w:r>
      <w:r w:rsidRPr="003F075F">
        <w:rPr>
          <w:rFonts w:ascii="Segoe UI" w:eastAsia="Times New Roman" w:hAnsi="Segoe UI" w:cs="Segoe UI"/>
          <w:color w:val="333333"/>
        </w:rPr>
        <w:t>period.</w:t>
      </w:r>
      <w:r w:rsidR="00B52350">
        <w:rPr>
          <w:rFonts w:ascii="Segoe UI" w:eastAsia="Times New Roman" w:hAnsi="Segoe UI" w:cs="Segoe UI"/>
          <w:color w:val="333333"/>
          <w:spacing w:val="40"/>
        </w:rPr>
        <w:t xml:space="preserve">  </w:t>
      </w:r>
      <w:r w:rsidRPr="00B52350">
        <w:rPr>
          <w:rFonts w:ascii="Segoe UI" w:eastAsia="Times New Roman" w:hAnsi="Segoe UI" w:cs="Segoe UI"/>
          <w:b/>
          <w:bCs/>
        </w:rPr>
        <w:t>Expenditures</w:t>
      </w:r>
      <w:r w:rsidRPr="00B52350">
        <w:rPr>
          <w:rFonts w:ascii="Segoe UI" w:eastAsia="Times New Roman" w:hAnsi="Segoe UI" w:cs="Segoe UI"/>
          <w:b/>
          <w:bCs/>
          <w:spacing w:val="-8"/>
        </w:rPr>
        <w:t xml:space="preserve"> </w:t>
      </w:r>
      <w:r w:rsidRPr="00B52350">
        <w:rPr>
          <w:rFonts w:ascii="Segoe UI" w:eastAsia="Times New Roman" w:hAnsi="Segoe UI" w:cs="Segoe UI"/>
          <w:b/>
          <w:bCs/>
        </w:rPr>
        <w:t>from</w:t>
      </w:r>
      <w:r w:rsidRPr="00B52350">
        <w:rPr>
          <w:rFonts w:ascii="Segoe UI" w:eastAsia="Times New Roman" w:hAnsi="Segoe UI" w:cs="Segoe UI"/>
          <w:b/>
          <w:bCs/>
          <w:spacing w:val="-12"/>
        </w:rPr>
        <w:t xml:space="preserve"> </w:t>
      </w:r>
      <w:r w:rsidRPr="00B52350">
        <w:rPr>
          <w:rFonts w:ascii="Segoe UI" w:eastAsia="Times New Roman" w:hAnsi="Segoe UI" w:cs="Segoe UI"/>
          <w:b/>
          <w:bCs/>
        </w:rPr>
        <w:t>these</w:t>
      </w:r>
      <w:r w:rsidRPr="00B52350">
        <w:rPr>
          <w:rFonts w:ascii="Segoe UI" w:eastAsia="Times New Roman" w:hAnsi="Segoe UI" w:cs="Segoe UI"/>
          <w:b/>
          <w:bCs/>
          <w:spacing w:val="-8"/>
        </w:rPr>
        <w:t xml:space="preserve"> </w:t>
      </w:r>
      <w:r w:rsidRPr="00B52350">
        <w:rPr>
          <w:rFonts w:ascii="Segoe UI" w:eastAsia="Times New Roman" w:hAnsi="Segoe UI" w:cs="Segoe UI"/>
          <w:b/>
          <w:bCs/>
        </w:rPr>
        <w:t>commercial</w:t>
      </w:r>
      <w:r w:rsidRPr="00B52350">
        <w:rPr>
          <w:rFonts w:ascii="Segoe UI" w:eastAsia="Times New Roman" w:hAnsi="Segoe UI" w:cs="Segoe UI"/>
          <w:b/>
          <w:bCs/>
          <w:spacing w:val="-8"/>
        </w:rPr>
        <w:t xml:space="preserve"> </w:t>
      </w:r>
      <w:r w:rsidRPr="00B52350">
        <w:rPr>
          <w:rFonts w:ascii="Segoe UI" w:eastAsia="Times New Roman" w:hAnsi="Segoe UI" w:cs="Segoe UI"/>
          <w:b/>
          <w:bCs/>
        </w:rPr>
        <w:t>loans</w:t>
      </w:r>
      <w:r w:rsidRPr="00B52350">
        <w:rPr>
          <w:rFonts w:ascii="Segoe UI" w:eastAsia="Times New Roman" w:hAnsi="Segoe UI" w:cs="Segoe UI"/>
          <w:b/>
          <w:bCs/>
          <w:spacing w:val="-8"/>
        </w:rPr>
        <w:t xml:space="preserve"> </w:t>
      </w:r>
      <w:r w:rsidRPr="00B52350">
        <w:rPr>
          <w:rFonts w:ascii="Segoe UI" w:eastAsia="Times New Roman" w:hAnsi="Segoe UI" w:cs="Segoe UI"/>
          <w:b/>
          <w:bCs/>
        </w:rPr>
        <w:t>which</w:t>
      </w:r>
      <w:r w:rsidRPr="00B52350">
        <w:rPr>
          <w:rFonts w:ascii="Segoe UI" w:eastAsia="Times New Roman" w:hAnsi="Segoe UI" w:cs="Segoe UI"/>
          <w:b/>
          <w:bCs/>
          <w:spacing w:val="-10"/>
        </w:rPr>
        <w:t xml:space="preserve"> </w:t>
      </w:r>
      <w:r w:rsidRPr="00B52350">
        <w:rPr>
          <w:rFonts w:ascii="Segoe UI" w:eastAsia="Times New Roman" w:hAnsi="Segoe UI" w:cs="Segoe UI"/>
          <w:b/>
          <w:bCs/>
        </w:rPr>
        <w:t>will</w:t>
      </w:r>
      <w:r w:rsidRPr="00B52350">
        <w:rPr>
          <w:rFonts w:ascii="Segoe UI" w:eastAsia="Times New Roman" w:hAnsi="Segoe UI" w:cs="Segoe UI"/>
          <w:b/>
          <w:bCs/>
          <w:spacing w:val="-10"/>
        </w:rPr>
        <w:t xml:space="preserve"> </w:t>
      </w:r>
      <w:r w:rsidRPr="00B52350">
        <w:rPr>
          <w:rFonts w:ascii="Segoe UI" w:eastAsia="Times New Roman" w:hAnsi="Segoe UI" w:cs="Segoe UI"/>
          <w:b/>
          <w:bCs/>
        </w:rPr>
        <w:t>be</w:t>
      </w:r>
      <w:r w:rsidRPr="00B52350">
        <w:rPr>
          <w:rFonts w:ascii="Segoe UI" w:eastAsia="Times New Roman" w:hAnsi="Segoe UI" w:cs="Segoe UI"/>
          <w:b/>
          <w:bCs/>
          <w:spacing w:val="-8"/>
        </w:rPr>
        <w:t xml:space="preserve"> </w:t>
      </w:r>
      <w:r w:rsidRPr="00B52350">
        <w:rPr>
          <w:rFonts w:ascii="Segoe UI" w:eastAsia="Times New Roman" w:hAnsi="Segoe UI" w:cs="Segoe UI"/>
          <w:b/>
          <w:bCs/>
        </w:rPr>
        <w:t>repaid from a USDA loan should be considered Federal awards expended, included in determining Type A programs, and reported in the Schedule of Expenditures of Federal Awards.</w:t>
      </w:r>
      <w:r w:rsidR="003F1BD8">
        <w:rPr>
          <w:rFonts w:ascii="Segoe UI" w:eastAsia="Times New Roman" w:hAnsi="Segoe UI" w:cs="Segoe UI"/>
        </w:rPr>
        <w:t xml:space="preserve"> </w:t>
      </w:r>
      <w:r w:rsidRPr="003F075F">
        <w:rPr>
          <w:rFonts w:ascii="Segoe UI" w:eastAsia="Times New Roman" w:hAnsi="Segoe UI" w:cs="Segoe UI"/>
        </w:rPr>
        <w:t xml:space="preserve"> The subsequent issuance of the USDA loan is not reported as an expenditure on the SEFA. </w:t>
      </w:r>
      <w:r w:rsidR="003F1BD8">
        <w:rPr>
          <w:rFonts w:ascii="Segoe UI" w:eastAsia="Times New Roman" w:hAnsi="Segoe UI" w:cs="Segoe UI"/>
        </w:rPr>
        <w:t xml:space="preserve"> </w:t>
      </w:r>
      <w:r w:rsidRPr="00B52350">
        <w:rPr>
          <w:rFonts w:ascii="Segoe UI" w:eastAsia="Times New Roman" w:hAnsi="Segoe UI" w:cs="Segoe UI"/>
          <w:b/>
          <w:bCs/>
        </w:rPr>
        <w:t>New interpretation by USDA:</w:t>
      </w:r>
      <w:r w:rsidRPr="003F075F">
        <w:rPr>
          <w:rFonts w:ascii="Segoe UI" w:eastAsia="Times New Roman" w:hAnsi="Segoe UI" w:cs="Segoe UI"/>
        </w:rPr>
        <w:t xml:space="preserve"> </w:t>
      </w:r>
      <w:r w:rsidR="003F1BD8">
        <w:rPr>
          <w:rFonts w:ascii="Segoe UI" w:eastAsia="Times New Roman" w:hAnsi="Segoe UI" w:cs="Segoe UI"/>
        </w:rPr>
        <w:t xml:space="preserve"> </w:t>
      </w:r>
      <w:r w:rsidRPr="003F075F">
        <w:rPr>
          <w:rFonts w:ascii="Segoe UI" w:eastAsia="Times New Roman" w:hAnsi="Segoe UI" w:cs="Segoe UI"/>
        </w:rPr>
        <w:t xml:space="preserve">Per the Compliance Supplement, </w:t>
      </w:r>
      <w:r w:rsidRPr="00B52350">
        <w:rPr>
          <w:rFonts w:ascii="Segoe UI" w:eastAsia="Times New Roman" w:hAnsi="Segoe UI" w:cs="Segoe UI"/>
          <w:b/>
          <w:bCs/>
        </w:rPr>
        <w:t>during the project</w:t>
      </w:r>
      <w:r w:rsidRPr="003F075F">
        <w:rPr>
          <w:rFonts w:ascii="Segoe UI" w:eastAsia="Times New Roman" w:hAnsi="Segoe UI" w:cs="Segoe UI"/>
        </w:rPr>
        <w:t>, the entity must report any loan balances, in addition to project expenditures, in accordance with 2 CFR 200.502(b).</w:t>
      </w:r>
      <w:r w:rsidR="003F1BD8">
        <w:rPr>
          <w:rFonts w:ascii="Segoe UI" w:eastAsia="Times New Roman" w:hAnsi="Segoe UI" w:cs="Segoe UI"/>
        </w:rPr>
        <w:t xml:space="preserve"> </w:t>
      </w:r>
      <w:r w:rsidRPr="003F075F">
        <w:rPr>
          <w:rFonts w:ascii="Segoe UI" w:eastAsia="Times New Roman" w:hAnsi="Segoe UI" w:cs="Segoe UI"/>
        </w:rPr>
        <w:t xml:space="preserve"> </w:t>
      </w:r>
      <w:r w:rsidRPr="00B52350">
        <w:rPr>
          <w:rFonts w:ascii="Segoe UI" w:eastAsia="Times New Roman" w:hAnsi="Segoe UI" w:cs="Segoe UI"/>
          <w:b/>
          <w:bCs/>
        </w:rPr>
        <w:t>After the project is completed</w:t>
      </w:r>
      <w:r w:rsidRPr="003F075F">
        <w:rPr>
          <w:rFonts w:ascii="Segoe UI" w:eastAsia="Times New Roman" w:hAnsi="Segoe UI" w:cs="Segoe UI"/>
        </w:rPr>
        <w:t xml:space="preserve">, the entity </w:t>
      </w:r>
      <w:r w:rsidRPr="00B52350">
        <w:rPr>
          <w:rFonts w:ascii="Segoe UI" w:eastAsia="Times New Roman" w:hAnsi="Segoe UI" w:cs="Segoe UI"/>
          <w:b/>
          <w:bCs/>
        </w:rPr>
        <w:t>does not</w:t>
      </w:r>
      <w:r w:rsidRPr="003F075F">
        <w:rPr>
          <w:rFonts w:ascii="Segoe UI" w:eastAsia="Times New Roman" w:hAnsi="Segoe UI" w:cs="Segoe UI"/>
        </w:rPr>
        <w:t xml:space="preserve"> report any outstanding loan balances as the loans are no longer considered to have continuing compliance requirements.</w:t>
      </w:r>
      <w:r w:rsidR="003F1BD8">
        <w:rPr>
          <w:rFonts w:ascii="Segoe UI" w:eastAsia="Times New Roman" w:hAnsi="Segoe UI" w:cs="Segoe UI"/>
        </w:rPr>
        <w:t xml:space="preserve"> </w:t>
      </w:r>
      <w:r w:rsidRPr="003F075F">
        <w:rPr>
          <w:rFonts w:ascii="Segoe UI" w:eastAsia="Times New Roman" w:hAnsi="Segoe UI" w:cs="Segoe UI"/>
        </w:rPr>
        <w:t xml:space="preserve"> CAUTION:</w:t>
      </w:r>
      <w:r w:rsidRPr="003F075F">
        <w:rPr>
          <w:rFonts w:ascii="Segoe UI" w:eastAsia="Times New Roman" w:hAnsi="Segoe UI" w:cs="Segoe UI"/>
          <w:spacing w:val="42"/>
        </w:rPr>
        <w:t xml:space="preserve"> </w:t>
      </w:r>
      <w:r w:rsidR="003F1BD8">
        <w:rPr>
          <w:rFonts w:ascii="Segoe UI" w:eastAsia="Times New Roman" w:hAnsi="Segoe UI" w:cs="Segoe UI"/>
          <w:spacing w:val="42"/>
        </w:rPr>
        <w:t xml:space="preserve"> </w:t>
      </w:r>
      <w:r w:rsidRPr="003F075F">
        <w:rPr>
          <w:rFonts w:ascii="Segoe UI" w:eastAsia="Times New Roman" w:hAnsi="Segoe UI" w:cs="Segoe UI"/>
        </w:rPr>
        <w:t>The</w:t>
      </w:r>
      <w:r w:rsidRPr="003F075F">
        <w:rPr>
          <w:rFonts w:ascii="Segoe UI" w:eastAsia="Times New Roman" w:hAnsi="Segoe UI" w:cs="Segoe UI"/>
          <w:spacing w:val="-10"/>
        </w:rPr>
        <w:t xml:space="preserve"> </w:t>
      </w:r>
      <w:r w:rsidRPr="003F075F">
        <w:rPr>
          <w:rFonts w:ascii="Segoe UI" w:eastAsia="Times New Roman" w:hAnsi="Segoe UI" w:cs="Segoe UI"/>
        </w:rPr>
        <w:t>federal</w:t>
      </w:r>
      <w:r w:rsidRPr="003F075F">
        <w:rPr>
          <w:rFonts w:ascii="Segoe UI" w:eastAsia="Times New Roman" w:hAnsi="Segoe UI" w:cs="Segoe UI"/>
          <w:spacing w:val="-9"/>
        </w:rPr>
        <w:t xml:space="preserve"> </w:t>
      </w:r>
      <w:r w:rsidRPr="003F075F">
        <w:rPr>
          <w:rFonts w:ascii="Segoe UI" w:eastAsia="Times New Roman" w:hAnsi="Segoe UI" w:cs="Segoe UI"/>
        </w:rPr>
        <w:t>participation</w:t>
      </w:r>
      <w:r w:rsidRPr="003F075F">
        <w:rPr>
          <w:rFonts w:ascii="Segoe UI" w:eastAsia="Times New Roman" w:hAnsi="Segoe UI" w:cs="Segoe UI"/>
          <w:spacing w:val="-8"/>
        </w:rPr>
        <w:t xml:space="preserve"> </w:t>
      </w:r>
      <w:r w:rsidRPr="003F075F">
        <w:rPr>
          <w:rFonts w:ascii="Segoe UI" w:eastAsia="Times New Roman" w:hAnsi="Segoe UI" w:cs="Segoe UI"/>
        </w:rPr>
        <w:t>rate</w:t>
      </w:r>
      <w:r w:rsidRPr="003F075F">
        <w:rPr>
          <w:rFonts w:ascii="Segoe UI" w:eastAsia="Times New Roman" w:hAnsi="Segoe UI" w:cs="Segoe UI"/>
          <w:spacing w:val="-6"/>
        </w:rPr>
        <w:t xml:space="preserve"> </w:t>
      </w:r>
      <w:r w:rsidRPr="003F075F">
        <w:rPr>
          <w:rFonts w:ascii="Segoe UI" w:eastAsia="Times New Roman" w:hAnsi="Segoe UI" w:cs="Segoe UI"/>
        </w:rPr>
        <w:t>(the</w:t>
      </w:r>
      <w:r w:rsidRPr="003F075F">
        <w:rPr>
          <w:rFonts w:ascii="Segoe UI" w:eastAsia="Times New Roman" w:hAnsi="Segoe UI" w:cs="Segoe UI"/>
          <w:spacing w:val="-10"/>
        </w:rPr>
        <w:t xml:space="preserve"> </w:t>
      </w:r>
      <w:r w:rsidRPr="003F075F">
        <w:rPr>
          <w:rFonts w:ascii="Segoe UI" w:eastAsia="Times New Roman" w:hAnsi="Segoe UI" w:cs="Segoe UI"/>
        </w:rPr>
        <w:t>amount the awarding agency will pay with federal funds) may be different than indicated in the grant/loan agreement.  In some cases, the agreement may indicate there will be no federal participation when there actually will be, or it may indicate federal p</w:t>
      </w:r>
      <w:r w:rsidR="003F1BD8">
        <w:rPr>
          <w:rFonts w:ascii="Segoe UI" w:eastAsia="Times New Roman" w:hAnsi="Segoe UI" w:cs="Segoe UI"/>
        </w:rPr>
        <w:t xml:space="preserve">articipation when there won’t.  </w:t>
      </w:r>
      <w:r w:rsidRPr="003F075F">
        <w:rPr>
          <w:rFonts w:ascii="Segoe UI" w:eastAsia="Times New Roman" w:hAnsi="Segoe UI" w:cs="Segoe UI"/>
        </w:rPr>
        <w:t xml:space="preserve">Report the federal portion of the expenditures actually paid as opposed to the amount indicated in the agreement. </w:t>
      </w:r>
      <w:r w:rsidR="003F1BD8">
        <w:rPr>
          <w:rFonts w:ascii="Segoe UI" w:eastAsia="Times New Roman" w:hAnsi="Segoe UI" w:cs="Segoe UI"/>
        </w:rPr>
        <w:t xml:space="preserve"> </w:t>
      </w:r>
      <w:r w:rsidRPr="003F075F">
        <w:rPr>
          <w:rFonts w:ascii="Segoe UI" w:eastAsia="Times New Roman" w:hAnsi="Segoe UI" w:cs="Segoe UI"/>
        </w:rPr>
        <w:t>Example:</w:t>
      </w:r>
      <w:r w:rsidR="003F1BD8">
        <w:rPr>
          <w:rFonts w:ascii="Segoe UI" w:eastAsia="Times New Roman" w:hAnsi="Segoe UI" w:cs="Segoe UI"/>
        </w:rPr>
        <w:t xml:space="preserve">  </w:t>
      </w:r>
      <w:r w:rsidRPr="003F075F">
        <w:rPr>
          <w:rFonts w:ascii="Segoe UI" w:eastAsia="Times New Roman" w:hAnsi="Segoe UI" w:cs="Segoe UI"/>
        </w:rPr>
        <w:t xml:space="preserve">The agreement indicates the cost of the project will be reimbursed with a mix if funds: 50 percent federal and 50 percent state. </w:t>
      </w:r>
      <w:r w:rsidR="003F1BD8">
        <w:rPr>
          <w:rFonts w:ascii="Segoe UI" w:eastAsia="Times New Roman" w:hAnsi="Segoe UI" w:cs="Segoe UI"/>
        </w:rPr>
        <w:t xml:space="preserve"> </w:t>
      </w:r>
      <w:r w:rsidRPr="003F075F">
        <w:rPr>
          <w:rFonts w:ascii="Segoe UI" w:eastAsia="Times New Roman" w:hAnsi="Segoe UI" w:cs="Segoe UI"/>
        </w:rPr>
        <w:t xml:space="preserve">After the year-end, the awarding agency sends a letter indicating the amounts it reimbursed was 75 percent federal and 25 </w:t>
      </w:r>
      <w:r w:rsidRPr="003F075F">
        <w:rPr>
          <w:rFonts w:ascii="Segoe UI" w:eastAsia="Times New Roman" w:hAnsi="Segoe UI" w:cs="Segoe UI"/>
        </w:rPr>
        <w:lastRenderedPageBreak/>
        <w:t>percent state.</w:t>
      </w:r>
      <w:r w:rsidR="003F1BD8">
        <w:rPr>
          <w:rFonts w:ascii="Segoe UI" w:eastAsia="Times New Roman" w:hAnsi="Segoe UI" w:cs="Segoe UI"/>
        </w:rPr>
        <w:t xml:space="preserve"> </w:t>
      </w:r>
      <w:r w:rsidRPr="003F075F">
        <w:rPr>
          <w:rFonts w:ascii="Segoe UI" w:eastAsia="Times New Roman" w:hAnsi="Segoe UI" w:cs="Segoe UI"/>
        </w:rPr>
        <w:t xml:space="preserve"> Report the 75 percent.</w:t>
      </w:r>
      <w:r w:rsidR="003F1BD8">
        <w:rPr>
          <w:rFonts w:ascii="Segoe UI" w:eastAsia="Times New Roman" w:hAnsi="Segoe UI" w:cs="Segoe UI"/>
        </w:rPr>
        <w:t xml:space="preserve"> </w:t>
      </w:r>
      <w:r w:rsidRPr="003F075F">
        <w:rPr>
          <w:rFonts w:ascii="Segoe UI" w:eastAsia="Times New Roman" w:hAnsi="Segoe UI" w:cs="Segoe UI"/>
        </w:rPr>
        <w:t xml:space="preserve"> Confirm with the awarding agency if you have not received notification from them of amounts paid to ensure the correct amounts are reported.  If the amount is not known at the time the SEFA is due, report it all as federal and include a note</w:t>
      </w:r>
      <w:r w:rsidRPr="003F075F">
        <w:rPr>
          <w:rFonts w:ascii="Segoe UI" w:eastAsia="Times New Roman" w:hAnsi="Segoe UI" w:cs="Segoe UI"/>
          <w:spacing w:val="-6"/>
        </w:rPr>
        <w:t xml:space="preserve"> </w:t>
      </w:r>
      <w:r w:rsidRPr="003F075F">
        <w:rPr>
          <w:rFonts w:ascii="Segoe UI" w:eastAsia="Times New Roman" w:hAnsi="Segoe UI" w:cs="Segoe UI"/>
        </w:rPr>
        <w:t>disclosure.</w:t>
      </w:r>
    </w:p>
    <w:sectPr w:rsidR="00DB6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5F"/>
    <w:rsid w:val="00193C4C"/>
    <w:rsid w:val="001D21FE"/>
    <w:rsid w:val="003F075F"/>
    <w:rsid w:val="003F1BD8"/>
    <w:rsid w:val="00AF3BCD"/>
    <w:rsid w:val="00B5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F99E9-4A2D-4025-98D8-1987C0DF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075F"/>
    <w:rPr>
      <w:b/>
      <w:bCs/>
    </w:rPr>
  </w:style>
  <w:style w:type="character" w:styleId="Hyperlink">
    <w:name w:val="Hyperlink"/>
    <w:basedOn w:val="DefaultParagraphFont"/>
    <w:uiPriority w:val="99"/>
    <w:semiHidden/>
    <w:unhideWhenUsed/>
    <w:rsid w:val="00B523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0200">
      <w:bodyDiv w:val="1"/>
      <w:marLeft w:val="0"/>
      <w:marRight w:val="0"/>
      <w:marTop w:val="0"/>
      <w:marBottom w:val="0"/>
      <w:divBdr>
        <w:top w:val="none" w:sz="0" w:space="0" w:color="auto"/>
        <w:left w:val="none" w:sz="0" w:space="0" w:color="auto"/>
        <w:bottom w:val="none" w:sz="0" w:space="0" w:color="auto"/>
        <w:right w:val="none" w:sz="0" w:space="0" w:color="auto"/>
      </w:divBdr>
    </w:div>
    <w:div w:id="1626160245">
      <w:bodyDiv w:val="1"/>
      <w:marLeft w:val="0"/>
      <w:marRight w:val="0"/>
      <w:marTop w:val="0"/>
      <w:marBottom w:val="0"/>
      <w:divBdr>
        <w:top w:val="none" w:sz="0" w:space="0" w:color="auto"/>
        <w:left w:val="none" w:sz="0" w:space="0" w:color="auto"/>
        <w:bottom w:val="none" w:sz="0" w:space="0" w:color="auto"/>
        <w:right w:val="none" w:sz="0" w:space="0" w:color="auto"/>
      </w:divBdr>
      <w:divsChild>
        <w:div w:id="209657177">
          <w:marLeft w:val="0"/>
          <w:marRight w:val="0"/>
          <w:marTop w:val="0"/>
          <w:marBottom w:val="0"/>
          <w:divBdr>
            <w:top w:val="none" w:sz="0" w:space="0" w:color="auto"/>
            <w:left w:val="none" w:sz="0" w:space="0" w:color="auto"/>
            <w:bottom w:val="none" w:sz="0" w:space="0" w:color="auto"/>
            <w:right w:val="none" w:sz="0" w:space="0" w:color="auto"/>
          </w:divBdr>
          <w:divsChild>
            <w:div w:id="586495750">
              <w:marLeft w:val="0"/>
              <w:marRight w:val="0"/>
              <w:marTop w:val="0"/>
              <w:marBottom w:val="0"/>
              <w:divBdr>
                <w:top w:val="none" w:sz="0" w:space="0" w:color="auto"/>
                <w:left w:val="none" w:sz="0" w:space="0" w:color="auto"/>
                <w:bottom w:val="none" w:sz="0" w:space="0" w:color="auto"/>
                <w:right w:val="none" w:sz="0" w:space="0" w:color="auto"/>
              </w:divBdr>
              <w:divsChild>
                <w:div w:id="1304772690">
                  <w:marLeft w:val="0"/>
                  <w:marRight w:val="0"/>
                  <w:marTop w:val="0"/>
                  <w:marBottom w:val="0"/>
                  <w:divBdr>
                    <w:top w:val="none" w:sz="0" w:space="0" w:color="auto"/>
                    <w:left w:val="none" w:sz="0" w:space="0" w:color="auto"/>
                    <w:bottom w:val="none" w:sz="0" w:space="0" w:color="auto"/>
                    <w:right w:val="none" w:sz="0" w:space="0" w:color="auto"/>
                  </w:divBdr>
                  <w:divsChild>
                    <w:div w:id="1496725330">
                      <w:marLeft w:val="0"/>
                      <w:marRight w:val="0"/>
                      <w:marTop w:val="0"/>
                      <w:marBottom w:val="0"/>
                      <w:divBdr>
                        <w:top w:val="none" w:sz="0" w:space="0" w:color="auto"/>
                        <w:left w:val="none" w:sz="0" w:space="0" w:color="auto"/>
                        <w:bottom w:val="none" w:sz="0" w:space="0" w:color="auto"/>
                        <w:right w:val="none" w:sz="0" w:space="0" w:color="auto"/>
                      </w:divBdr>
                      <w:divsChild>
                        <w:div w:id="325136840">
                          <w:marLeft w:val="0"/>
                          <w:marRight w:val="0"/>
                          <w:marTop w:val="0"/>
                          <w:marBottom w:val="0"/>
                          <w:divBdr>
                            <w:top w:val="none" w:sz="0" w:space="0" w:color="auto"/>
                            <w:left w:val="none" w:sz="0" w:space="0" w:color="auto"/>
                            <w:bottom w:val="none" w:sz="0" w:space="0" w:color="auto"/>
                            <w:right w:val="none" w:sz="0" w:space="0" w:color="auto"/>
                          </w:divBdr>
                          <w:divsChild>
                            <w:div w:id="724840765">
                              <w:marLeft w:val="75"/>
                              <w:marRight w:val="195"/>
                              <w:marTop w:val="210"/>
                              <w:marBottom w:val="240"/>
                              <w:divBdr>
                                <w:top w:val="none" w:sz="0" w:space="0" w:color="auto"/>
                                <w:left w:val="none" w:sz="0" w:space="0" w:color="auto"/>
                                <w:bottom w:val="none" w:sz="0" w:space="0" w:color="auto"/>
                                <w:right w:val="none" w:sz="0" w:space="0" w:color="auto"/>
                              </w:divBdr>
                              <w:divsChild>
                                <w:div w:id="1938126654">
                                  <w:marLeft w:val="0"/>
                                  <w:marRight w:val="0"/>
                                  <w:marTop w:val="0"/>
                                  <w:marBottom w:val="0"/>
                                  <w:divBdr>
                                    <w:top w:val="single" w:sz="2" w:space="0" w:color="FFFFFF"/>
                                    <w:left w:val="single" w:sz="2" w:space="0" w:color="FFFFFF"/>
                                    <w:bottom w:val="single" w:sz="2" w:space="0" w:color="FFFFFF"/>
                                    <w:right w:val="single" w:sz="2" w:space="0" w:color="FFFFFF"/>
                                  </w:divBdr>
                                  <w:divsChild>
                                    <w:div w:id="1881629362">
                                      <w:marLeft w:val="0"/>
                                      <w:marRight w:val="0"/>
                                      <w:marTop w:val="0"/>
                                      <w:marBottom w:val="0"/>
                                      <w:divBdr>
                                        <w:top w:val="none" w:sz="0" w:space="0" w:color="auto"/>
                                        <w:left w:val="none" w:sz="0" w:space="0" w:color="auto"/>
                                        <w:bottom w:val="none" w:sz="0" w:space="0" w:color="auto"/>
                                        <w:right w:val="none" w:sz="0" w:space="0" w:color="auto"/>
                                      </w:divBdr>
                                      <w:divsChild>
                                        <w:div w:id="1667515716">
                                          <w:marLeft w:val="0"/>
                                          <w:marRight w:val="0"/>
                                          <w:marTop w:val="150"/>
                                          <w:marBottom w:val="0"/>
                                          <w:divBdr>
                                            <w:top w:val="none" w:sz="0" w:space="0" w:color="auto"/>
                                            <w:left w:val="none" w:sz="0" w:space="0" w:color="auto"/>
                                            <w:bottom w:val="none" w:sz="0" w:space="0" w:color="auto"/>
                                            <w:right w:val="none" w:sz="0" w:space="0" w:color="auto"/>
                                          </w:divBdr>
                                          <w:divsChild>
                                            <w:div w:id="1391615365">
                                              <w:marLeft w:val="0"/>
                                              <w:marRight w:val="0"/>
                                              <w:marTop w:val="0"/>
                                              <w:marBottom w:val="0"/>
                                              <w:divBdr>
                                                <w:top w:val="none" w:sz="0" w:space="0" w:color="auto"/>
                                                <w:left w:val="none" w:sz="0" w:space="0" w:color="auto"/>
                                                <w:bottom w:val="none" w:sz="0" w:space="0" w:color="auto"/>
                                                <w:right w:val="none" w:sz="0" w:space="0" w:color="auto"/>
                                              </w:divBdr>
                                              <w:divsChild>
                                                <w:div w:id="96215728">
                                                  <w:marLeft w:val="0"/>
                                                  <w:marRight w:val="0"/>
                                                  <w:marTop w:val="0"/>
                                                  <w:marBottom w:val="0"/>
                                                  <w:divBdr>
                                                    <w:top w:val="none" w:sz="0" w:space="0" w:color="auto"/>
                                                    <w:left w:val="none" w:sz="0" w:space="0" w:color="auto"/>
                                                    <w:bottom w:val="none" w:sz="0" w:space="0" w:color="auto"/>
                                                    <w:right w:val="none" w:sz="0" w:space="0" w:color="auto"/>
                                                  </w:divBdr>
                                                  <w:divsChild>
                                                    <w:div w:id="1861700982">
                                                      <w:marLeft w:val="0"/>
                                                      <w:marRight w:val="0"/>
                                                      <w:marTop w:val="75"/>
                                                      <w:marBottom w:val="0"/>
                                                      <w:divBdr>
                                                        <w:top w:val="none" w:sz="0" w:space="0" w:color="auto"/>
                                                        <w:left w:val="none" w:sz="0" w:space="0" w:color="auto"/>
                                                        <w:bottom w:val="none" w:sz="0" w:space="0" w:color="auto"/>
                                                        <w:right w:val="none" w:sz="0" w:space="0" w:color="auto"/>
                                                      </w:divBdr>
                                                      <w:divsChild>
                                                        <w:div w:id="1596396755">
                                                          <w:marLeft w:val="0"/>
                                                          <w:marRight w:val="0"/>
                                                          <w:marTop w:val="0"/>
                                                          <w:marBottom w:val="0"/>
                                                          <w:divBdr>
                                                            <w:top w:val="none" w:sz="0" w:space="0" w:color="auto"/>
                                                            <w:left w:val="none" w:sz="0" w:space="0" w:color="auto"/>
                                                            <w:bottom w:val="none" w:sz="0" w:space="0" w:color="auto"/>
                                                            <w:right w:val="none" w:sz="0" w:space="0" w:color="auto"/>
                                                          </w:divBdr>
                                                        </w:div>
                                                      </w:divsChild>
                                                    </w:div>
                                                    <w:div w:id="9573733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o.wa.gov/bars_cash/reporting/supplementary-and-other-information/expenditures-of-federal-awards-schedule16/" TargetMode="External"/><Relationship Id="rId4" Type="http://schemas.openxmlformats.org/officeDocument/2006/relationships/hyperlink" Target="https://www.sao.wa.gov/bars_gaap/reporting/supplementary-and-other-information/expenditures-of-federal-awards-schedule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 State Auditor's Office</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Alexandra (SAO)</dc:creator>
  <cp:keywords/>
  <dc:description/>
  <cp:lastModifiedBy>Walter, Heidi (SAO)</cp:lastModifiedBy>
  <cp:revision>2</cp:revision>
  <dcterms:created xsi:type="dcterms:W3CDTF">2019-03-06T18:57:00Z</dcterms:created>
  <dcterms:modified xsi:type="dcterms:W3CDTF">2019-03-06T18:57:00Z</dcterms:modified>
</cp:coreProperties>
</file>